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F0682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F0682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23.12.2023 N 2268</w:t>
            </w:r>
            <w:r>
              <w:rPr>
                <w:sz w:val="48"/>
                <w:szCs w:val="48"/>
              </w:rPr>
              <w:br/>
              <w:t>(ред. от 14.03.2024)</w:t>
            </w:r>
            <w:r>
              <w:rPr>
                <w:sz w:val="48"/>
                <w:szCs w:val="48"/>
              </w:rPr>
              <w:br/>
              <w:t>"О ведении государственного реестра объектов накопленного вреда окружающей среде"</w:t>
            </w:r>
            <w:r>
              <w:rPr>
                <w:sz w:val="48"/>
                <w:szCs w:val="48"/>
              </w:rPr>
              <w:br/>
              <w:t>(вместе с "Правилам</w:t>
            </w:r>
            <w:r>
              <w:rPr>
                <w:sz w:val="48"/>
                <w:szCs w:val="48"/>
              </w:rPr>
              <w:t>и ведения государственного реестра объектов накопленного вреда окружающей среде")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BF0682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04.06.2024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BF0682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BF0682">
      <w:pPr>
        <w:pStyle w:val="ConsPlusNormal"/>
        <w:jc w:val="both"/>
        <w:outlineLvl w:val="0"/>
      </w:pPr>
    </w:p>
    <w:p w:rsidR="00000000" w:rsidRDefault="00BF068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BF0682">
      <w:pPr>
        <w:pStyle w:val="ConsPlusTitle"/>
        <w:jc w:val="center"/>
      </w:pPr>
    </w:p>
    <w:p w:rsidR="00000000" w:rsidRDefault="00BF0682">
      <w:pPr>
        <w:pStyle w:val="ConsPlusTitle"/>
        <w:jc w:val="center"/>
      </w:pPr>
      <w:r>
        <w:t>ПОСТАНОВЛЕНИЕ</w:t>
      </w:r>
    </w:p>
    <w:p w:rsidR="00000000" w:rsidRDefault="00BF0682">
      <w:pPr>
        <w:pStyle w:val="ConsPlusTitle"/>
        <w:jc w:val="center"/>
      </w:pPr>
      <w:r>
        <w:t>от 23 декабря 2023 г. N 2268</w:t>
      </w:r>
    </w:p>
    <w:p w:rsidR="00000000" w:rsidRDefault="00BF0682">
      <w:pPr>
        <w:pStyle w:val="ConsPlusTitle"/>
        <w:jc w:val="center"/>
      </w:pPr>
    </w:p>
    <w:p w:rsidR="00000000" w:rsidRDefault="00BF0682">
      <w:pPr>
        <w:pStyle w:val="ConsPlusTitle"/>
        <w:jc w:val="center"/>
      </w:pPr>
      <w:r>
        <w:t>О ВЕДЕНИИ</w:t>
      </w:r>
    </w:p>
    <w:p w:rsidR="00000000" w:rsidRDefault="00BF0682">
      <w:pPr>
        <w:pStyle w:val="ConsPlusTitle"/>
        <w:jc w:val="center"/>
      </w:pPr>
      <w:r>
        <w:t>ГОСУДАРСТВЕННОГО РЕЕСТРА ОБЪЕКТОВ НАКОПЛЕННОГО ВРЕДА</w:t>
      </w:r>
    </w:p>
    <w:p w:rsidR="00000000" w:rsidRDefault="00BF0682">
      <w:pPr>
        <w:pStyle w:val="ConsPlusTitle"/>
        <w:jc w:val="center"/>
      </w:pPr>
      <w:r>
        <w:t>ОКРУЖАЮЩЕЙ СРЕДЕ</w:t>
      </w:r>
    </w:p>
    <w:p w:rsidR="00000000" w:rsidRDefault="00BF068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РФ от 14.03.2024 N 300)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В соответствии со статьей 80.2 Федерального закона "Об охране окружающей среды" Правительство Российской Федерации постановляет: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2" w:tooltip="ПРАВИЛА" w:history="1">
        <w:r>
          <w:rPr>
            <w:color w:val="0000FF"/>
          </w:rPr>
          <w:t>Правила</w:t>
        </w:r>
      </w:hyperlink>
      <w:r>
        <w:t xml:space="preserve"> ведения государственного реестра объектов накопленного вред</w:t>
      </w:r>
      <w:r>
        <w:t>а окружающей среде.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13 апреля 2017 г. N 445 "Об утверждении Правил ведения государственного реестра объектов накопленного вреда окружающей среде" (Собрание законодательства Р</w:t>
      </w:r>
      <w:r>
        <w:t>оссийской Федерации, 2017, N 17, ст. 2568);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пункт 1 изменений, которые вносятся в акты Правительства Российской Федерации, утвержденных постановлением Правительства Российской Федерации от 25 декабря 2019 г. N 1834 "О случаях, при которых выявление объекто</w:t>
      </w:r>
      <w:r>
        <w:t>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</w:t>
      </w:r>
      <w:r>
        <w:t>твенными бюджетными учреждениями, федеральными государственными казенными учреждениями, а также о внесении изменений в некоторые акты Правительства Российской Федерации" (Собрание законодательства Российской Федерации, 2020, N 1, ст. 36).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3. Министерству п</w:t>
      </w:r>
      <w:r>
        <w:t>риродных ресурсов и экологии Российской Федерации в срок, не превышающий 30 рабочих дней со дня поступления информации от Федеральной службы по надзору в сфере защиты прав потребителей и благополучия человека в соответствии с пунктом 3 статьи 5 Федеральног</w:t>
      </w:r>
      <w:r>
        <w:t xml:space="preserve">о закона от 4 августа 2023 г. N 449-ФЗ "О внесении изменений в отдельные законодательные акты Российской Федерации", принять решение об обновлении информации об объекте накопленного вреда окружающей среде, осуществить приоритизацию такого объекта с учетом </w:t>
      </w:r>
      <w:r>
        <w:t>уровня и объема его негативного воздействия на жизнь и здоровье граждан и внести соответствующие изменения в государственный реестр объектов накопленного вреда окружающей среде.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right"/>
      </w:pPr>
      <w:r>
        <w:t>Председатель Правительства</w:t>
      </w:r>
    </w:p>
    <w:p w:rsidR="00000000" w:rsidRDefault="00BF0682">
      <w:pPr>
        <w:pStyle w:val="ConsPlusNormal"/>
        <w:jc w:val="right"/>
      </w:pPr>
      <w:r>
        <w:t>Российской Федерации</w:t>
      </w:r>
    </w:p>
    <w:p w:rsidR="00000000" w:rsidRDefault="00BF0682">
      <w:pPr>
        <w:pStyle w:val="ConsPlusNormal"/>
        <w:jc w:val="right"/>
      </w:pPr>
      <w:r>
        <w:t>М.МИШУСТИН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right"/>
        <w:outlineLvl w:val="0"/>
      </w:pPr>
      <w:r>
        <w:t>Утверждены</w:t>
      </w:r>
    </w:p>
    <w:p w:rsidR="00000000" w:rsidRDefault="00BF0682">
      <w:pPr>
        <w:pStyle w:val="ConsPlusNormal"/>
        <w:jc w:val="right"/>
      </w:pPr>
      <w:r>
        <w:t>постановлением Правительства</w:t>
      </w:r>
    </w:p>
    <w:p w:rsidR="00000000" w:rsidRDefault="00BF0682">
      <w:pPr>
        <w:pStyle w:val="ConsPlusNormal"/>
        <w:jc w:val="right"/>
      </w:pPr>
      <w:r>
        <w:t>Российской Федерации</w:t>
      </w:r>
    </w:p>
    <w:p w:rsidR="00000000" w:rsidRDefault="00BF0682">
      <w:pPr>
        <w:pStyle w:val="ConsPlusNormal"/>
        <w:jc w:val="right"/>
      </w:pPr>
      <w:r>
        <w:t>от 23 декабря 2023 г. N 2268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Title"/>
        <w:jc w:val="center"/>
      </w:pPr>
      <w:bookmarkStart w:id="1" w:name="Par32"/>
      <w:bookmarkEnd w:id="1"/>
      <w:r>
        <w:t>ПРАВИЛА</w:t>
      </w:r>
    </w:p>
    <w:p w:rsidR="00000000" w:rsidRDefault="00BF0682">
      <w:pPr>
        <w:pStyle w:val="ConsPlusTitle"/>
        <w:jc w:val="center"/>
      </w:pPr>
      <w:r>
        <w:t>ВЕДЕНИЯ ГОСУДАРСТВЕННОГО РЕЕСТРА ОБЪЕКТОВ НАКОПЛЕННОГО</w:t>
      </w:r>
    </w:p>
    <w:p w:rsidR="00000000" w:rsidRDefault="00BF0682">
      <w:pPr>
        <w:pStyle w:val="ConsPlusTitle"/>
        <w:jc w:val="center"/>
      </w:pPr>
      <w:r>
        <w:t>ВРЕДА ОКРУЖАЮЩЕЙ СРЕДЕ</w:t>
      </w:r>
    </w:p>
    <w:p w:rsidR="00000000" w:rsidRDefault="00BF0682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Правительства РФ от 14.03.</w:t>
            </w:r>
            <w:r>
              <w:rPr>
                <w:color w:val="392C69"/>
              </w:rPr>
              <w:t>2024 N 300)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F0682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1. Настоящие Правила определяют порядок ведения государственного реестра объектов накопленного вреда окружающей среде (далее соответственно - объект, государственный реестр), в том числе критерии определения объектов, накопленный вред окружающей среде на к</w:t>
      </w:r>
      <w:r>
        <w:t>оторых подлежит ликвидации в первоочередном порядке (далее - критерии определения объектов).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2" w:name="Par39"/>
      <w:bookmarkEnd w:id="2"/>
      <w:r>
        <w:t>2. Ведение государственного реестра включает в себя рассмотрение результатов инвентаризации объектов, проведенной в соответствии со статьей 80.2 Федераль</w:t>
      </w:r>
      <w:r>
        <w:t>ного закона "Об охране окружающей среды", принятие решения о включении объектов в государственный реестр или об отказе во включении объектов в государственный реестр, определение объектов, обновление информации об объекте (далее - актуализация) и исключени</w:t>
      </w:r>
      <w:r>
        <w:t>е объектов из государственного реестра.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3. Государственный реестр ведется Министерством природных ресурсов и экологии Российской Федерации на основании результатов инвентаризации объектов. Государственный реестр содержит: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а) порядковый номер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б) на</w:t>
      </w:r>
      <w:r>
        <w:t>именование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в) описание местоположения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г) площадь территории (акватории), на которой выявлен накопленный вред окружающей среде;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д) количество населения, проживающего на территории, окружающая среда на которой может быть подвержена негативн</w:t>
      </w:r>
      <w:r>
        <w:t>ому воздействию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е) дату включения объекта в государственный реестр;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ж) дату исключения объекта из государственного реестра;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з) значение общего влияния объекта, определенного по результатам приоритизации объекта с учетом уровня и объема негативного</w:t>
      </w:r>
      <w:r>
        <w:t xml:space="preserve"> воздействия объекта на окружающую среду, а также на жизнь и здоровье граждан (далее - приоритизация объекта).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4. Сведения, содержащиеся в государственном реестре, размещаются в федеральной государственной информационной системе состояния окружающей среды </w:t>
      </w:r>
      <w:r>
        <w:t>и на официальном сайте Министерства природных ресурсов и экологии Российской Федерации в информационно-телекоммуникационной сети "Интернет" в открытом доступе.</w:t>
      </w:r>
    </w:p>
    <w:p w:rsidR="00000000" w:rsidRDefault="00BF0682">
      <w:pPr>
        <w:pStyle w:val="ConsPlusNormal"/>
        <w:jc w:val="both"/>
      </w:pPr>
      <w:r>
        <w:t>(в ред. Постановления Правительства РФ от 14.03.2024 N 300)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5. Под заявителями в настоящих Правилах понимаются органы государственной власти Российской Федерации, органы государственной власти субъектов Российской Федерации или органы местного самоуправления, указанные в пункте 5 статьи 80.1 Федерального закона "Об</w:t>
      </w:r>
      <w:r>
        <w:t xml:space="preserve"> охране окружающей среды".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3" w:name="Par52"/>
      <w:bookmarkEnd w:id="3"/>
      <w:r>
        <w:t>6. Заявление о включении объекта в государственный реестр подается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</w:t>
      </w:r>
      <w:r>
        <w:t>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К заявлению о включении объекта в государственный реестр прилагаются результаты инвентаризации объек</w:t>
      </w:r>
      <w:r>
        <w:t xml:space="preserve">та, указанные в </w:t>
      </w:r>
      <w:hyperlink w:anchor="Par39" w:tooltip="2. Ведение государственного реестра включает в себя рассмотрение результатов инвентаризации объектов, проведенной в соответствии со статьей 80.2 Федерального закона &quot;Об охране окружающей среды&quot;, принятие решения о включении объектов в государственный реестр или об отказе во включении объектов в государственный реестр, определение объектов, обновление информации об объекте (далее - актуализация) и исключение объектов из государственного реестра." w:history="1">
        <w:r>
          <w:rPr>
            <w:color w:val="0000FF"/>
          </w:rPr>
          <w:t>пункте 2</w:t>
        </w:r>
      </w:hyperlink>
      <w:r>
        <w:t xml:space="preserve"> настоящих</w:t>
      </w:r>
      <w:r>
        <w:t xml:space="preserve"> Правил.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7. По результатам рассмотрения заявления о включении объекта в государственный реестр и результатов инвентаризации объектов, представленных заявителем, Министерство природных ресурсов и экологии Российской Федерации в срок, не превышающий 30 рабоч</w:t>
      </w:r>
      <w:r>
        <w:t>их дней со дня поступления заявления, принимает решение о включении объекта в государственный реестр или об отказе во включении объекта в государственный реестр с указанием причин отказа.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8. Основаниями для отказа во включении объекта в государственный рее</w:t>
      </w:r>
      <w:r>
        <w:t xml:space="preserve">стр является представление недостоверной, неполной информации и (или) материалов, предусмотренных </w:t>
      </w:r>
      <w:hyperlink w:anchor="Par52" w:tooltip="6. Заявление о включении объекта в государственный реестр пода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" w:history="1">
        <w:r>
          <w:rPr>
            <w:color w:val="0000FF"/>
          </w:rPr>
          <w:t>пунктом 6</w:t>
        </w:r>
      </w:hyperlink>
      <w:r>
        <w:t xml:space="preserve"> на</w:t>
      </w:r>
      <w:r>
        <w:t>стоящих Правил.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9. После включения объекта в государственный реестр Министерством природных ресурсов и экологии Российской Федерации в течение 30 рабочих дней осуществляется приоритизация объекта на основании критериев определения объектов согласно </w:t>
      </w:r>
      <w:hyperlink w:anchor="Par87" w:tooltip="КРИТЕРИИ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Общее влияние объекта на окружающую среду, а также на жизнь и здоровье граждан определяется путем суммирования полученных значений критериев определения объектов (1 - 12), предусмотренных </w:t>
      </w:r>
      <w:hyperlink w:anchor="Par87" w:tooltip="КРИТЕРИИ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Информация о результатах приоритизации объекта включается в государственный реестр.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10. При изменении информации об объекте, содержащейся в государственном реестре, органы государственной власти Российской Федерац</w:t>
      </w:r>
      <w:r>
        <w:t>ии, органы государственной власти субъектов Российской Федерации или органы местного самоуправления, по заявлению которых объект включен в государственный реестр, в течение 30 рабочих дней с момента получения такой информации направляют в Министерство прир</w:t>
      </w:r>
      <w:r>
        <w:t xml:space="preserve">одных ресурсов и экологии Российской Федерации актуализированную информацию об объекте в соответствии с типовой формой, предусмотренной </w:t>
      </w:r>
      <w:hyperlink w:anchor="Par52" w:tooltip="6. Заявление о включении объекта в государственный реестр пода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" w:history="1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В случае если проектом ликвидации накопленного вреда окружающей среде предусмотрено поэтапное проведение ликвидации накопленного вреда окружающей среде, органы государственной власти Российской Федераци</w:t>
      </w:r>
      <w:r>
        <w:t>и, органы государственной власти субъектов Российской Федерации или органы местного самоуправления, по заявлению которых объект включен в государственный реестр, в течение 30 рабочих дней с момента завершения каждого этапа ликвидации накопленного вреда окр</w:t>
      </w:r>
      <w:r>
        <w:t xml:space="preserve">ужающей среде могут направлять в Министерство природных ресурсов и экологии Российской Федерации актуализированную информацию об объекте в соответствии с типовой формой, предусмотренной </w:t>
      </w:r>
      <w:hyperlink w:anchor="Par52" w:tooltip="6. Заявление о включении объекта в государственный реестр пода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" w:history="1">
        <w:r>
          <w:rPr>
            <w:color w:val="0000FF"/>
          </w:rPr>
          <w:t>пунктом 6</w:t>
        </w:r>
      </w:hyperlink>
      <w:r>
        <w:t xml:space="preserve"> настоящих Правил, с приложением акта о приемке этапа ликвидации накопленного вреда на объекте и положительного заключения Федеральной службы по надзору в сфере природопол</w:t>
      </w:r>
      <w:r>
        <w:t>ьзования о ликвидации накопленного вреда на объекте.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11. Министерство природных ресурсов и экологии Российской Федерации в срок, не превышающий 30 рабочих дней со дня поступления от заявителя актуализированной информации, принимает решение об актуализации </w:t>
      </w:r>
      <w:r>
        <w:t>информации об объекте и вносит соответствующие изменения в государственный реестр или принимает решение об отказе в актуализации информации об объекте с указанием причин отказа.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12. Основанием для отказа в актуализации информации, содержащейся в государств</w:t>
      </w:r>
      <w:r>
        <w:t xml:space="preserve">енном реестре, является представление недостоверной, неполной информации и (или) материалов, предусмотренных </w:t>
      </w:r>
      <w:hyperlink w:anchor="Par52" w:tooltip="6. Заявление о включении объекта в государственный реестр пода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" w:history="1">
        <w:r>
          <w:rPr>
            <w:color w:val="0000FF"/>
          </w:rPr>
          <w:t>пунк</w:t>
        </w:r>
        <w:r>
          <w:rPr>
            <w:color w:val="0000FF"/>
          </w:rPr>
          <w:t>том 6</w:t>
        </w:r>
      </w:hyperlink>
      <w:r>
        <w:t xml:space="preserve"> настоящих Правил.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13. После актуализации информации, содержащейся в государственном реестре, Министерством природных ресурсов и экологии Российской Федерации в течение 30 календарных дней осуществляется (в случае необходимости) приоритизация объек</w:t>
      </w:r>
      <w:r>
        <w:t>та на основании критериев определения объекта.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Информация о результатах приоритизации объекта по итогам актуализации включается в государственный реестр.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Приоритизация объекта при поэтапном проведении ликвидации накопленного вреда окружающей среде не осуще</w:t>
      </w:r>
      <w:r>
        <w:t>ствляется.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14. Основаниями для исключения объекта из государственного реестра являются: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4" w:name="Par67"/>
      <w:bookmarkEnd w:id="4"/>
      <w:r>
        <w:t>а) ликвидация накопленного вреда окружающей среде на объекте;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5" w:name="Par68"/>
      <w:bookmarkEnd w:id="5"/>
      <w:r>
        <w:t>б) передача третьим лицам права владения и (или) пользования объектом, находящимся в г</w:t>
      </w:r>
      <w:r>
        <w:t>осударственной или муниципальной собственности.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6" w:name="Par69"/>
      <w:bookmarkEnd w:id="6"/>
      <w:r>
        <w:t xml:space="preserve">15. В случае, указанном в </w:t>
      </w:r>
      <w:hyperlink w:anchor="Par67" w:tooltip="а) ликвидация накопленного вреда окружающей среде на объекте;" w:history="1">
        <w:r>
          <w:rPr>
            <w:color w:val="0000FF"/>
          </w:rPr>
          <w:t>подпункте "а" пункта 14</w:t>
        </w:r>
      </w:hyperlink>
      <w:r>
        <w:t xml:space="preserve"> настоящих Правил, заявление об исключении объекта из госуда</w:t>
      </w:r>
      <w:r>
        <w:t>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2 статьи 80.3 Федерального закона "Об охране окружающ</w:t>
      </w:r>
      <w:r>
        <w:t>ей среды", с указанием порядкового номера объекта и его наименования в государственном реестре.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К заявлению об исключении объекта из государственного реестра прилагаются акт о приемке ликвидации накопленного вреда на объекте и положительное заключение Феде</w:t>
      </w:r>
      <w:r>
        <w:t>ральной службы по надзору в сфере природопользования о ликвидации накопленного вреда на объекте.</w:t>
      </w:r>
    </w:p>
    <w:p w:rsidR="00000000" w:rsidRDefault="00BF0682">
      <w:pPr>
        <w:pStyle w:val="ConsPlusNormal"/>
        <w:spacing w:before="240"/>
        <w:ind w:firstLine="540"/>
        <w:jc w:val="both"/>
      </w:pPr>
      <w:bookmarkStart w:id="7" w:name="Par71"/>
      <w:bookmarkEnd w:id="7"/>
      <w:r>
        <w:t xml:space="preserve">16. В случае, указанном в </w:t>
      </w:r>
      <w:hyperlink w:anchor="Par68" w:tooltip="б) передача третьим лицам права владения и (или) пользования объектом, находящимся в государственной или муниципальной собственности.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</w:t>
      </w:r>
      <w:r>
        <w:t>Федерации или органами местного самоуправления, указанными в пункте 5 статьи 80.1 Федерального закона "Об охране окружающей среды", с указанием порядкового номера объекта и его наименования в государственном реестре.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К заявлению об исключении объекта из го</w:t>
      </w:r>
      <w:r>
        <w:t>сударственного реестра прилагаются материалы, подтверждающие передачу третьим лицам прав владения и (или) пользования объектом, находящимся в государственной или муниципальной собственности.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17. Заявление об исключении объекта из государственного реестра с</w:t>
      </w:r>
      <w:r>
        <w:t xml:space="preserve"> приложением материалов, указанных в </w:t>
      </w:r>
      <w:hyperlink w:anchor="Par69" w:tooltip="15. В случае, указанном в подпункте &quot;а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2 статьи 80.3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пунктах 15</w:t>
        </w:r>
      </w:hyperlink>
      <w:r>
        <w:t xml:space="preserve"> и </w:t>
      </w:r>
      <w:hyperlink w:anchor="Par71" w:tooltip="16. В случае, указанном в подпункте &quot;б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5 статьи 80.1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16</w:t>
        </w:r>
      </w:hyperlink>
      <w:r>
        <w:t xml:space="preserve"> настоящих Правил, направляется заявителем в Министерство природных ресурсов и экологии Российской Федерации в письменной форме или в электронной форме, подписанное усиленной квалифицированной электронной подписью.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18. По результатам рассмотрен</w:t>
      </w:r>
      <w:r>
        <w:t xml:space="preserve">ия заявления об исключении объекта из государственного реестра, информации и материалов, представленных заявителем в соответствии с </w:t>
      </w:r>
      <w:hyperlink w:anchor="Par69" w:tooltip="15. В случае, указанном в подпункте &quot;а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2 статьи 80.3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пунктами 15</w:t>
        </w:r>
      </w:hyperlink>
      <w:r>
        <w:t xml:space="preserve"> и </w:t>
      </w:r>
      <w:hyperlink w:anchor="Par71" w:tooltip="16. В случае, указанном в подпункте &quot;б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5 статьи 80.1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16</w:t>
        </w:r>
      </w:hyperlink>
      <w:r>
        <w:t xml:space="preserve"> настоящих Правил, Министерство природных ресурсов и экологии Российской Федерации в срок, не превышающий 30 рабочих дней со дня поступления заявлен</w:t>
      </w:r>
      <w:r>
        <w:t>ия, принимает решение об исключении объекта из государственного реестра или об отказе в исключении объекта из государственного реестра с указанием причин отказа.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19. Основанием для отказа в исключении объекта из государственного реестра является представле</w:t>
      </w:r>
      <w:r>
        <w:t xml:space="preserve">ние недостоверной, неполной информации и (или) материалов в соответствии с </w:t>
      </w:r>
      <w:hyperlink w:anchor="Par69" w:tooltip="15. В случае, указанном в подпункте &quot;а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2 статьи 80.3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пунктами 15</w:t>
        </w:r>
      </w:hyperlink>
      <w:r>
        <w:t xml:space="preserve"> и </w:t>
      </w:r>
      <w:hyperlink w:anchor="Par71" w:tooltip="16. В случае, указанном в подпункте &quot;б&quot; пункта 14 настоящих Правил, заявление об исключении объекта из государственного реестра подается органами государственной власти Российской Федерации, органами государственной власти субъектов Российской Федерации или органами местного самоуправления, указанными в пункте 5 статьи 80.1 Федерального закона &quot;Об охране окружающей среды&quot;, с указанием порядкового номера объекта и его наименования в государственном реестре." w:history="1">
        <w:r>
          <w:rPr>
            <w:color w:val="0000FF"/>
          </w:rPr>
          <w:t>16</w:t>
        </w:r>
      </w:hyperlink>
      <w:r>
        <w:t xml:space="preserve"> настоящих Правил.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20. В случае если организацию ликвидации накопленного вреда осуществляют Министерство природных ресурсов и экологии Российской Федерации или подведомственные ему федеральные государствен</w:t>
      </w:r>
      <w:r>
        <w:t>ные бюджетные учреждения, федеральные государственные казенные учреждения, исключение объекта из государственного реестра осуществляется Министерством природных ресурсов и экологии Российской Федерации в срок, не превышающий 30 рабочих дней со дня подписан</w:t>
      </w:r>
      <w:r>
        <w:t>ия акта о приемке ликвидации накопленного вреда на объекте.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right"/>
        <w:outlineLvl w:val="1"/>
      </w:pPr>
      <w:r>
        <w:t>Приложение</w:t>
      </w:r>
    </w:p>
    <w:p w:rsidR="00000000" w:rsidRDefault="00BF0682">
      <w:pPr>
        <w:pStyle w:val="ConsPlusNormal"/>
        <w:jc w:val="right"/>
      </w:pPr>
      <w:r>
        <w:t>к Правилам ведения</w:t>
      </w:r>
    </w:p>
    <w:p w:rsidR="00000000" w:rsidRDefault="00BF0682">
      <w:pPr>
        <w:pStyle w:val="ConsPlusNormal"/>
        <w:jc w:val="right"/>
      </w:pPr>
      <w:r>
        <w:t>государственного реестра объектов</w:t>
      </w:r>
    </w:p>
    <w:p w:rsidR="00000000" w:rsidRDefault="00BF0682">
      <w:pPr>
        <w:pStyle w:val="ConsPlusNormal"/>
        <w:jc w:val="right"/>
      </w:pPr>
      <w:r>
        <w:t>накопленного вреда окружающей среде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Title"/>
        <w:jc w:val="center"/>
      </w:pPr>
      <w:bookmarkStart w:id="8" w:name="Par87"/>
      <w:bookmarkEnd w:id="8"/>
      <w:r>
        <w:t>КРИТЕРИИ</w:t>
      </w:r>
    </w:p>
    <w:p w:rsidR="00000000" w:rsidRDefault="00BF0682">
      <w:pPr>
        <w:pStyle w:val="ConsPlusTitle"/>
        <w:jc w:val="center"/>
      </w:pPr>
      <w:r>
        <w:t>ОПРЕДЕЛЕНИЯ ОБЪЕКТОВ, НАКОПЛЕННЫЙ ВРЕД ОКРУЖАЮЩЕЙ СРЕДЕ</w:t>
      </w:r>
    </w:p>
    <w:p w:rsidR="00000000" w:rsidRDefault="00BF0682">
      <w:pPr>
        <w:pStyle w:val="ConsPlusTitle"/>
        <w:jc w:val="center"/>
      </w:pPr>
      <w:r>
        <w:t>НА КОТОРЫХ ПОДЛЕЖИТ ЛИКВИДАЦИИ В ПЕРВООЧЕРЕДНОМ ПОРЯДКЕ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Для целей определения объектов, накопленный вред окружающей среде на которых подлежит ликвидации в первоочередном порядке, применяются следующие критерии: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 xml:space="preserve">а) критерий 1 - масса или объем размещенных </w:t>
      </w:r>
      <w:r>
        <w:t>отходов производства и потребления конкретного класса опасности. Указанный критерий оценивается в соответствии со следующей таблицей:</w:t>
      </w:r>
    </w:p>
    <w:p w:rsidR="00000000" w:rsidRDefault="00BF06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2041"/>
        <w:gridCol w:w="1984"/>
      </w:tblGrid>
      <w:tr w:rsidR="00000000">
        <w:tc>
          <w:tcPr>
            <w:tcW w:w="4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Масса или объем отходов производства и потребления (млн. тонн/м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Класс опасности отходов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Значение критерия 1</w:t>
            </w:r>
          </w:p>
        </w:tc>
      </w:tr>
      <w:tr w:rsidR="00000000">
        <w:tc>
          <w:tcPr>
            <w:tcW w:w="4932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До 1 вклю</w:t>
            </w:r>
            <w:r>
              <w:t>чительно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От 1 до 5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Свыше 5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До 1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От 1 до 5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От 5 до 10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Свыше 10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До 50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От 50 до 100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Свыше 100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До 5 включительно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4932" w:type="dxa"/>
          </w:tcPr>
          <w:p w:rsidR="00000000" w:rsidRDefault="00BF0682">
            <w:pPr>
              <w:pStyle w:val="ConsPlusNormal"/>
            </w:pPr>
            <w:r>
              <w:t>Свыше 5</w:t>
            </w:r>
          </w:p>
        </w:tc>
        <w:tc>
          <w:tcPr>
            <w:tcW w:w="2041" w:type="dxa"/>
          </w:tcPr>
          <w:p w:rsidR="00000000" w:rsidRDefault="00BF0682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1984" w:type="dxa"/>
          </w:tcPr>
          <w:p w:rsidR="00000000" w:rsidRDefault="00BF0682">
            <w:pPr>
              <w:pStyle w:val="ConsPlusNormal"/>
              <w:jc w:val="center"/>
            </w:pPr>
            <w:r>
              <w:t>0,75</w:t>
            </w:r>
          </w:p>
        </w:tc>
      </w:tr>
      <w:tr w:rsidR="00000000">
        <w:tc>
          <w:tcPr>
            <w:tcW w:w="4932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Вне зависимости от количества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0,75.</w:t>
            </w: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В случае размещения на объекте накопленного вреда окружающей среде отходов производства и потребления различных классов опасно</w:t>
      </w:r>
      <w:r>
        <w:t>сти выбирается наибольшее значение критерия 1 для отходов, размещенных на этом объекте;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б) критерий 2 - площадь территории (акватории), подверженной негативному воздействию (на которой расположен объект накопленного вреда окружающей среде). Указанный крите</w:t>
      </w:r>
      <w:r>
        <w:t>рий оценивается в соответствии со следующей таблицей:</w:t>
      </w:r>
    </w:p>
    <w:p w:rsidR="00000000" w:rsidRDefault="00BF06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494"/>
      </w:tblGrid>
      <w:tr w:rsidR="00000000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Площадь территории (акватории), подверженной негативному воздействию (гектаров)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Значение критерия 2</w:t>
            </w:r>
          </w:p>
        </w:tc>
      </w:tr>
      <w:tr w:rsidR="00000000">
        <w:tc>
          <w:tcPr>
            <w:tcW w:w="6463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До 1 включительно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1 до 10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10 до 20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20 до 50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50 до 100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6463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Свыше 100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0,75;</w:t>
            </w: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в) критерий 3 - уровень и объем негативного воздействия на окружающую среду. Указанный критерий оценивается в зависимости от превышения установленных значений нормативов качест</w:t>
      </w:r>
      <w:r>
        <w:t>ва окружающей среды, в том числе предельно допустимых концентраций (ПДК) химических веществ в водах водных объектов, атмосферном воздухе и почве (далее - нормативы качества), в соответствии со следующей таблицей:</w:t>
      </w:r>
    </w:p>
    <w:p w:rsidR="00000000" w:rsidRDefault="00BF06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494"/>
      </w:tblGrid>
      <w:tr w:rsidR="00000000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Кратность превышения нормативов качества о</w:t>
            </w:r>
            <w:r>
              <w:t>кружающей среды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Значение критерия 3</w:t>
            </w:r>
          </w:p>
        </w:tc>
      </w:tr>
      <w:tr w:rsidR="00000000">
        <w:tc>
          <w:tcPr>
            <w:tcW w:w="6463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До 5 включительно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5 до 10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10 до 20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20 до 50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6463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Свыше 50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0,75.</w:t>
            </w: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В случае выявления одновременного превышения нескольких установленных нормативов качества значение критерия 3 определяется по максимальной величине нормативов качества;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г) критерий 4 - наличие на объектах накопленного вреда окружающей среде опасных веществ</w:t>
      </w:r>
      <w:r>
        <w:t>, в том числе радиоактивных веществ, высокотоксичных веществ, веществ, обладающих канцерогенными, мутагенными свойствами (веществ I, II классов опасности), концентрация которых превышает установленные нормативы качества и (или) санитарно-гигиенические норм</w:t>
      </w:r>
      <w:r>
        <w:t>ативы, включая предельно допустимые концентрации химических веществ в водах водных объектов, атмосферном воздухе и почве. Указанный критерий принимает нулевое значение в случае отсутствия указанных веществ или принимает значение, равное 0,1, при наличии ук</w:t>
      </w:r>
      <w:r>
        <w:t>азанных веществ;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д) критерий 5 - расположение объекта накопленного вреда окружающей среде в границах населенного пункта, имеющего статус города в соответствии с нормативным правовым актом, принятым субъектом Российской Федерации. Указанный критерий принима</w:t>
      </w:r>
      <w:r>
        <w:t>ет нулевое значение в случае расположения объекта накопленного вреда окружающей среде вне границ города или принимает значение, равное 1, при его расположении в границах города;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е) критерий 6 - количество населения, проживающего на территории, окружающая с</w:t>
      </w:r>
      <w:r>
        <w:t>реда на которой может быть подвержена негативному воздействию объекта накопленного вреда окружающей среде. Указанный критерий оценивается в соответствии со следующей таблицей:</w:t>
      </w:r>
    </w:p>
    <w:p w:rsidR="00000000" w:rsidRDefault="00BF06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494"/>
      </w:tblGrid>
      <w:tr w:rsidR="00000000">
        <w:tc>
          <w:tcPr>
            <w:tcW w:w="6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Количество населения, тыс. человек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Значение критерия 6</w:t>
            </w:r>
          </w:p>
        </w:tc>
      </w:tr>
      <w:tr w:rsidR="00000000">
        <w:tc>
          <w:tcPr>
            <w:tcW w:w="6463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Не оказывает воздействи</w:t>
            </w:r>
            <w:r>
              <w:t>е на население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До 0,1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0,1 до 5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5 до 20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6463" w:type="dxa"/>
          </w:tcPr>
          <w:p w:rsidR="00000000" w:rsidRDefault="00BF0682">
            <w:pPr>
              <w:pStyle w:val="ConsPlusNormal"/>
            </w:pPr>
            <w:r>
              <w:t>От 20 до 100 включительно</w:t>
            </w:r>
          </w:p>
        </w:tc>
        <w:tc>
          <w:tcPr>
            <w:tcW w:w="2494" w:type="dxa"/>
          </w:tcPr>
          <w:p w:rsidR="00000000" w:rsidRDefault="00BF0682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6463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Свыше 100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1;</w:t>
            </w: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>ж) критерий 7 - расположение объекта накопленного вреда окружающей среде в Арктической зоне Российской Федерации. Указанный критерий принимает значение, равное 0,5, в случае расположения такого объекта в границах Арктической зоны Российской Федерации или п</w:t>
      </w:r>
      <w:r>
        <w:t>ринимает нулевое значение в случае отсутствия в границах указанной зоны такого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з) критерий 8 - категория риска вредного воздействия объекта накопленного вреда окружающей среде на жизнь и здоровье граждан. Указанный критерий оценивается в соответст</w:t>
      </w:r>
      <w:r>
        <w:t>вии со следующей таблицей:</w:t>
      </w:r>
    </w:p>
    <w:p w:rsidR="00000000" w:rsidRDefault="00BF06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551"/>
      </w:tblGrid>
      <w:tr w:rsidR="00000000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Категория риска вредного воздействия объекта накопленного вреда окружающей среде на жизнь и здоровье граждан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Значение критерия 8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1-я категория (низкий риск)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6406" w:type="dxa"/>
          </w:tcPr>
          <w:p w:rsidR="00000000" w:rsidRDefault="00BF0682">
            <w:pPr>
              <w:pStyle w:val="ConsPlusNormal"/>
            </w:pPr>
            <w:r>
              <w:t>2-я категория (умеренный риск)</w:t>
            </w:r>
          </w:p>
        </w:tc>
        <w:tc>
          <w:tcPr>
            <w:tcW w:w="2551" w:type="dxa"/>
          </w:tcPr>
          <w:p w:rsidR="00000000" w:rsidRDefault="00BF0682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406" w:type="dxa"/>
          </w:tcPr>
          <w:p w:rsidR="00000000" w:rsidRDefault="00BF0682">
            <w:pPr>
              <w:pStyle w:val="ConsPlusNormal"/>
            </w:pPr>
            <w:r>
              <w:t>3-я категория (средний риск)</w:t>
            </w:r>
          </w:p>
        </w:tc>
        <w:tc>
          <w:tcPr>
            <w:tcW w:w="2551" w:type="dxa"/>
          </w:tcPr>
          <w:p w:rsidR="00000000" w:rsidRDefault="00BF0682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406" w:type="dxa"/>
          </w:tcPr>
          <w:p w:rsidR="00000000" w:rsidRDefault="00BF0682">
            <w:pPr>
              <w:pStyle w:val="ConsPlusNormal"/>
            </w:pPr>
            <w:r>
              <w:t>4-я категория (высокий риск)</w:t>
            </w:r>
          </w:p>
        </w:tc>
        <w:tc>
          <w:tcPr>
            <w:tcW w:w="2551" w:type="dxa"/>
          </w:tcPr>
          <w:p w:rsidR="00000000" w:rsidRDefault="00BF0682">
            <w:pPr>
              <w:pStyle w:val="ConsPlusNormal"/>
              <w:jc w:val="center"/>
            </w:pPr>
            <w:r>
              <w:t>2,5</w:t>
            </w:r>
          </w:p>
        </w:tc>
      </w:tr>
      <w:tr w:rsidR="00000000">
        <w:tc>
          <w:tcPr>
            <w:tcW w:w="6406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</w:pPr>
            <w:r>
              <w:t>5-я категория</w:t>
            </w:r>
          </w:p>
          <w:p w:rsidR="00000000" w:rsidRDefault="00BF0682">
            <w:pPr>
              <w:pStyle w:val="ConsPlusNormal"/>
            </w:pPr>
            <w:r>
              <w:t>(чрезвычайно высокий риск)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00000" w:rsidRDefault="00BF0682">
            <w:pPr>
              <w:pStyle w:val="ConsPlusNormal"/>
              <w:jc w:val="center"/>
            </w:pPr>
            <w:r>
              <w:t>3;</w:t>
            </w:r>
          </w:p>
        </w:tc>
      </w:tr>
    </w:tbl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ind w:firstLine="540"/>
        <w:jc w:val="both"/>
      </w:pPr>
      <w:r>
        <w:t xml:space="preserve">и) критерий 9 - расположение объекта накопленного вреда окружающей среде на землях особо охраняемых природных территорий, в охранной зоне особо охраняемой природной территории </w:t>
      </w:r>
      <w:r>
        <w:t>(государственного природного заповедника, национального парка, природного парка, памятника природы), в округе санитарной (горно-санитарной) охраны лечебно-оздоровительных местностей, курортов и природных лечебных ресурсов. Указанный критерий принимает знач</w:t>
      </w:r>
      <w:r>
        <w:t>ение, равное 0,5, в случае расположения такого объекта на землях особо охраняемых природных территорий, в охранной зоне особо охраняемой природной территории (государственного природного заповедника, национального парка, природного парка, памятника природы</w:t>
      </w:r>
      <w:r>
        <w:t>), в округе санитарной (горно-санитарной) охраны лечебно-оздоровительных местностей, курортов и природных лечебных ресурсов или принимает нулевое значение в случае отсутствия в границах указанных земель такого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к) критерий 10 - расположение объекта накопленного вреда окружающей среде на Байкальской природной территории. Указанный критерий принимает значение, равное 0,5, в случае расположения такого объекта в границах Байкальской природной территории или принимает</w:t>
      </w:r>
      <w:r>
        <w:t xml:space="preserve"> нулевое значение в случае отсутствия в границах указанной зоны такого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л) критерий 11 - расположение объекта накопленного вреда окружающей среде в водоохранной зоне водного объекта, прибрежной защитной полосе, зоне санитарной охраны источников пит</w:t>
      </w:r>
      <w:r>
        <w:t>ьевого и хозяйственно-бытового водоснабжения, рыбохозяйственной заповедной зоне. Указанный критерий принимает значение, равное 0,5, в случае расположения такого объекта в водоохранной зоне водного объекта, прибрежной защитной полосе, зоне санитарной охраны</w:t>
      </w:r>
      <w:r>
        <w:t xml:space="preserve"> источников питьевого и хозяйственно-бытового водоснабжения, рыбохозяйственной заповедной зоне или принимает нулевое значение в случае отсутствия в указанной зоне такого объекта;</w:t>
      </w:r>
    </w:p>
    <w:p w:rsidR="00000000" w:rsidRDefault="00BF0682">
      <w:pPr>
        <w:pStyle w:val="ConsPlusNormal"/>
        <w:spacing w:before="240"/>
        <w:ind w:firstLine="540"/>
        <w:jc w:val="both"/>
      </w:pPr>
      <w:r>
        <w:t>м) критерий 12 - расположение объекта накопленного вреда окружающей среде, на</w:t>
      </w:r>
      <w:r>
        <w:t xml:space="preserve"> котором размещены твердые коммунальные отходы, в границах первой - шестой подзон приаэродромной территории. Указанный критерий принимает значение, равное 0,5, в случае расположения такого объекта в границах первой - шестой подзон приаэродромной территории</w:t>
      </w:r>
      <w:r>
        <w:t xml:space="preserve"> или принимает нулевое значение в случае отсутствия в указанных границах такого объекта.</w:t>
      </w: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jc w:val="both"/>
      </w:pPr>
    </w:p>
    <w:p w:rsidR="00000000" w:rsidRDefault="00BF06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0682">
      <w:pPr>
        <w:spacing w:after="0" w:line="240" w:lineRule="auto"/>
      </w:pPr>
      <w:r>
        <w:separator/>
      </w:r>
    </w:p>
  </w:endnote>
  <w:endnote w:type="continuationSeparator" w:id="0">
    <w:p w:rsidR="00000000" w:rsidRDefault="00BF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F068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8"/>
      <w:gridCol w:w="3470"/>
      <w:gridCol w:w="3369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682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682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682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BF068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0682">
      <w:pPr>
        <w:spacing w:after="0" w:line="240" w:lineRule="auto"/>
      </w:pPr>
      <w:r>
        <w:separator/>
      </w:r>
    </w:p>
  </w:footnote>
  <w:footnote w:type="continuationSeparator" w:id="0">
    <w:p w:rsidR="00000000" w:rsidRDefault="00BF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682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23.12.2023 N 2268</w:t>
          </w:r>
          <w:r>
            <w:rPr>
              <w:rFonts w:ascii="Tahoma" w:hAnsi="Tahoma" w:cs="Tahoma"/>
              <w:sz w:val="16"/>
              <w:szCs w:val="16"/>
            </w:rPr>
            <w:br/>
            <w:t>(ред. от 14.03.2024)</w:t>
          </w:r>
          <w:r>
            <w:rPr>
              <w:rFonts w:ascii="Tahoma" w:hAnsi="Tahoma" w:cs="Tahoma"/>
              <w:sz w:val="16"/>
              <w:szCs w:val="16"/>
            </w:rPr>
            <w:br/>
            <w:t>"О ведении государственного реестра объектов на...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F0682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04.06.2024</w:t>
          </w:r>
        </w:p>
      </w:tc>
    </w:tr>
  </w:tbl>
  <w:p w:rsidR="00000000" w:rsidRDefault="00BF068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F068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682"/>
    <w:rsid w:val="00B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B0F3F42-EC48-407D-9AE6-0F2FBD8F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3759</Words>
  <Characters>21428</Characters>
  <Application>Microsoft Office Word</Application>
  <DocSecurity>6</DocSecurity>
  <Lines>178</Lines>
  <Paragraphs>50</Paragraphs>
  <ScaleCrop>false</ScaleCrop>
  <Company>КонсультантПлюс Версия 4023.00.50</Company>
  <LinksUpToDate>false</LinksUpToDate>
  <CharactersWithSpaces>25137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23.12.2023 N 2268(ред. от 14.03.2024)"О ведении государственного реестра объектов накопленного вреда окружающей среде"(вместе с "Правилами ведения государственного реестра объектов накопленного вреда окружающей среде")</dc:title>
  <dc:subject/>
  <dc:creator/>
  <cp:keywords/>
  <dc:description/>
  <cp:lastModifiedBy>word</cp:lastModifiedBy>
  <cp:revision>2</cp:revision>
  <dcterms:created xsi:type="dcterms:W3CDTF">2024-06-19T09:16:00Z</dcterms:created>
  <dcterms:modified xsi:type="dcterms:W3CDTF">2024-06-19T09:16:00Z</dcterms:modified>
</cp:coreProperties>
</file>